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A90592">
        <w:rPr>
          <w:rFonts w:ascii="Times New Roman" w:hAnsi="Times New Roman" w:cs="Times New Roman"/>
          <w:sz w:val="28"/>
          <w:szCs w:val="28"/>
        </w:rPr>
        <w:t xml:space="preserve">Зарегистрировано в Минюсте РФ 3 февраля 2005 г. N 6295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ФЕДЕРАЛЬНАЯ СЛУЖБА ПО НАДЗОРУ В СФЕРЕ ЗАЩИТЫ ПРАВ ПОТРЕБИТЕЛЕЙ И БЛАГОПОЛУЧИЯ ЧЕЛОВЕКА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ГЛАВНЫЙ ГОСУДАРСТВЕННЫЙ САНИТАРНЫЙ ВРАЧ РОССИЙСКОЙ ФЕДЕРАЦИИ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от 19 января 2005 г. N 3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О ВВЕДЕНИИ В ДЕЙСТВИЕ САНПИН 2.3.2.1940-05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(в ред. Письма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от 09.02.2006 N 0100/1330-06-32,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На основании Федерального закона "О санитарно-эпидемиологическом благополучии населения" от 30 марта 1999 г. N 52-ФЗ &lt;*&gt; и "Положения о государственном санитарно-эпидемиологическом нормировании", утвержденного Постановлением Правительства Российской Федерации от 24 июля 2000 г. N 554 &lt;**&gt;, постановляю: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&lt;*&gt; Собрание законодательства Российской Федерации, 1999, N 14, ст. 1650.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&lt;**&gt; Собрание законодательства Российской Федерации, 2000, N 31, ст. 3295.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1. Ввести в действие с 1 июля 2005 года санитарные правила "Организация детского питания".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2.3.2.1940-05", утвержденные </w:t>
      </w: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Главным государственным санитарным врачом Российской Федерации 17 января 2005 года. </w:t>
      </w:r>
      <w:proofErr w:type="gramEnd"/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Г.Г.ОНИЩЕНКО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Главный государственный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санитарный врач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в сфере защиты прав потребителей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и благополучия человека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Г.Г.ОНИЩЕНКО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17 января 2005 года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Дата введения: 01.07.2005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2.3.2. ПРОДОВОЛЬСТВЕННОЕ СЫРЬЕ И ПИЩЕВЫЕ ПРОДУКТЫ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ОРГАНИЗАЦИЯ ДЕТСКОГО ПИТАНИЯ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ПРАВИЛА И НОРМАТИВЫ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САНПИН 2.3.2.1940-05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(в ред. Письма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от 09.02.2006 N 0100/1330-06-32,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I. ОБЛАСТЬ ПРИМЕНЕНИЯ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1.1. Настоящие санитарно-эпидемиологические правила и нормативы (далее - Санитарные правила) разработаны в соответствии с Федеральными законами: от 30.03.1999 N 52-ФЗ "О санитарно-эпидемиологическом благополучии населения" (Собрание законодательства Российской Федерации, 1999, N 14, ст. 1650);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2004, N 35, 3607); от 02.01.2000 N 29-ФЗ "О качестве и безопасности пищевых продуктов" (Собрание законодательства Российской Федерации, 2000, N 2, ст. 150);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3295) и с учетом требований статьи 16 Федерального закона от 09.01.1996 N 3-ФЗ "О радиационной безопасности населения" (Собрание законодательства Российской Федерации от 15.01.1996 N 3, ст. 141). </w:t>
      </w:r>
      <w:proofErr w:type="gramEnd"/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1.2. Индивидуальные предприниматели и юридические лица, осуществляющие деятельность в сфере производства и оборота продуктов детского питания, обязаны иметь в наличии официально изданные санитарные правила согласно статье 11 Федерального закона от 30.03.1999 N 52-ФЗ "О санитарно-эпидемиологическом благополучии населения".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II. ОБЩИЕ ПОЛОЖЕНИЯ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2.1. В настоящих Санитарных правилах используются следующие основные понятия: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дети раннего возраста - дети в возрасте от рождения до 3 лет;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дети дошкольного возраста - дети в возрасте от 3 до 6 лет;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дети школьного возраста - дети в возрасте от 6 до 14 лет;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    продукты детского питания - пищевые продукты, предназначенные для питания детей в возрасте до 14 лет и отвечающие физиологическим потребностям детского организма, в том числе: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детского питания для детей раннего возраста - пищевые продукты детского питания, предназначенные для питания детей в возрасте от рождения до 3 лет, состав и свойства которых должны соответствовать их возрастным физиологическим особенностям, обеспечивать эффективную усвояемость и не должны причинять вред здоровью ребенка;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заменители женского молока - пищевые продукты в жидкой или порошкообразной форме, изготовленные на основе коровьего молока или молока других сельскохозяйственных животных, белков сои и предназначенные для использования в качестве заменителей женского молока и максимально приближенные к нему по химическому составу для удовлетворения физиологических потребностей детей раннего возраста;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прикорма - пищевые продукты, вводимые в рацион ребенка первого года жизни в качестве дополнения к женскому молоку или его заменителям, изготовленные на основе продуктов животного и/или растительного происхождения в соответствии с его возрастными физиологическими особенностями, в том числе: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прикорма на зерновой и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зерно-молочной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основе - пищевые продукты, изготовленные из муки различных круп в виде сухих молочных и безмолочных каш, растворимого печенья и макаронных изделий;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прикорма на плодоовощной основе - пищевые продукты, изготовленные на основе фруктов, овощей, ягод в виде консервированных соков, нектаров и пюре;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прикорма на мясной основе - пищевые продукты, изготовленные на основе говядины, свинины, баранины, конины (для детей с непереносимостью белков говядины), кролика, мяса птицы;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прикорма на рыбной основе - пищевые продукты, изготовленные на основе океанической, морской и пресноводной рыбы;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прикорма на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мясо-растительной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рыбо-растительной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основе - пищевые продукты, изготовленные на основе мяса или рыбы (океанической, морской и пресноводной) с добавлением растительных компонентов (плодов, овощей, круп, муки);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прикорма на растительно-мясно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рыбной) основе - пищевые продукты, изготовленные на основе растительных компонентов (плодов, овощей, круп, муки), с добавлением мяса или рыбы (океанической, морской и пресноводной);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прикорма на молочной основе - пищевые продукты жидкие, пастообразные и сухие, изготовленные на основе коровьего молока и молока других сельскохозяйственных животных;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детские травяные чаи - пищевые продукты, изготовленные на основе трав и экстрактов трав;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продукты детского питания для больных детей раннего возраста - пищевые продукты диетического (лечебного и профилактического) питания, </w:t>
      </w: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химический состав которых соответствует особенностям метаболизма при соответствующей патологии у ребенка;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продукты детского питания для детей дошкольного (с 3 до 6 лет) и школьного (от 6 до 14 лет) возраста - пищевые продукты, предназначенные для питания детей указанных возрастных групп, которые отличаются от аналогичных продуктов массового потребления использованием для их изготовления сырья более высокого качества, пониженным содержанием соли и жира, ограниченным содержанием пищевых добавок, отсутствием жгучих специй и отвечают повышенным требованиям к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показателям безопасности в соответствии с Санитарно-эпидемиологическими правилами и нормативами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2.3.2.1078-01 "Гигиенические требования безопасности и пищевой ценности пищевых продуктов" (Постановление Главного государственного санитарного врача Российской Федерации от 14.11.2001 N 36, зарегистрировано Минюстом России 22.03.2002,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N 3326);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пищевая ценность продуктов детского питания - совокупность свойств пищевых продуктов, при наличии которых удовлетворяются физиологические потребности детского организма в необходимых веществах и энергии;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качество продуктов детского питания - совокупность характеристик пищевых продуктов, способных удовлетворять потребности детского организма в пище при обычных условиях их использования;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безопасность продуктов детского питания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2.2. Продукты детского питания и их компоненты должны соответствовать гигиеническим нормативам безопасности и пищевой ценности продуктов детского питания, установленным санитарно-эпидемиологическими правилами и нормативами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2.3.2.1078-01 "Гигиенические требования безопасности и пищевой ценности пищевых продуктов".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2.3.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Разработка новых отечественных продуктов или ввоз новых продуктов зарубежных производителей, показатели пищевой ценности которых отличаются от регламентируемых санитарно-эпидемиологическими правилами и нормативами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2.3.2.1078-01 "Гигиенические требования безопасности и пищевой ценности пищевых продуктов", производится в соответствии с целевым назначением этих продуктов в порядке, установленном законодательством Российской Федерации. </w:t>
      </w:r>
      <w:proofErr w:type="gramEnd"/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2.4. При осуществлении контроля и надзора в сфере обеспечения санитарно-эпидемиологического благополучия населения проверяется соответствие материалов и изделий, контактирующих в процессе производства с продуктами детского питания, установленным требованиям безопасности.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    2.5. Производство продуктов детского питания осуществляется в соответствии с нормативно-техническими документами в целях обеспечения их качества и безопасности.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2.6.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При разработке новых видов продуктов детского питания юридическими лицами, индивидуальными предпринимателями и гражданами, осуществляющими эту деятельность, учитывается необходимость их обязательной сертификации согласно Постановлению Правительства Российской Федерации от 13.08.1997 N 1013 "Об утверждении Перечня товаров, подлежащих обязательной сертификации, и Перечня работ и услуг, подлежащих обязательной сертификации" (Собрание законодательства Российской Федерации, 1997, N 33, ст. 3899). </w:t>
      </w:r>
      <w:proofErr w:type="gramEnd"/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РЕФЕРЕНТ: В связи с утратой силы Постановления Правительства РФ от 13.08.97 N 1013, следует руководствоваться принятым взамен Постановлением Правительства РФ от 01.12.2009 N 982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2.7. 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2.8. Свидетельство о государственной регистрации установленного образца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представляемых технических документов на их производство исходя из требований законодательства Российской Федерации.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2.9. Продукты детского питания, импортируемые на территорию Российской Федерации, должны отвечать требованиям действующего законодательства Российской Федерации.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2.10. Юридические лица, индивидуальные предприниматели и граждане, осуществляющие деятельность по производству, ввозу и обороту продуктов детского питания, обязаны предоставлять покупателям (потребителям), а также органам государственного надзора и контроля полную и достоверную информацию в соответствии с действующим законодательством Российской Федерации.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III. ТЕХНИЧЕСКИЕ ДОКУМЕНТЫ, ПОСТАНОВКА ПРОДУКТОВ ДЕТСКОГО ПИТАНИЯ НА ПРОИЗВОДСТВО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3.1. В технических документах содержатся требования к показателям качества и безопасности сырья и готовой продукции, физико-химическим </w:t>
      </w: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свойствам и рецептуре продуктов детского питания, условиям хранения и срокам годности, упаковке и информации, выносимой на этикетку, транспортировке, к технологическому оборудованию и технологическому процессу производства продуктов детского питания, организации и методам производственного контроля.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3.2. В соответствии с законодательством Российской Федерации производство продуктов детского питания осуществляется при наличии: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санитарно-эпидемиологического заключения на производство продуктов детского питания;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программ производственного контроля, утвержденных и согласованных в соответствии с санитарными правилами;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технических документов, согласованных в установленном порядке.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IV. СЫРЬЕ И КОМПОНЕНТЫ, ИСПОЛЬЗУЕМЫЕ ДЛЯ ПРОИЗВОДСТВА ПРОДУКТОВ ДЕТСКОГО ПИТАНИЯ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4.1. Сырье, используемое в производстве продуктов детского питания, должно соответствовать требованиям санитарно-эпидемиологических правил и нормативов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2.3.2.1078-01 "Гигиенические требования безопасности и пищевой ценности пищевых продуктов". </w:t>
      </w:r>
      <w:r w:rsidRPr="00A90592">
        <w:rPr>
          <w:rFonts w:ascii="Times New Roman" w:hAnsi="Times New Roman" w:cs="Times New Roman"/>
          <w:sz w:val="28"/>
          <w:szCs w:val="28"/>
        </w:rPr>
        <w:cr/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4.2. В соответствии с действующими государственными санитарно-эпидемиологическими правилами и нормативами при производстве продуктов детского питания для детей раннего возраста не используются следующие виды сырья: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творог с кислотностью более 150 град. Тернера;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соевая мука, зерно и зерновые продукты, загрязненные посторонними примесями и вредителями хлебных запасов;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мясо убойных животных и птицы, подвергнутое повторному замораживанию, мясо механической обвалки;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субпродукты убойных животных и птицы, за исключением сердца, печени и языка;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Абзац шестой - Исключен.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говядина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первой и второй категории с массовой долей жировой ткани выше 9%;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говядина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колбасная с массовой долей соединительной и жировой ткани свыше 12%;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говяжье котлетное мясо с массовой долей соединительной и жировой ткани свыше 20%;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свинина третьей и четвертой категории;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    свинина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 массовой долей жировой ткани свыше 32%;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свинина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колбасная;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баранина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 массовой долей жировой ткани выше 9%;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тушки цыплят и цыплят-бройлеров третьей категории;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замороженные из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мяса говядины, свинины, птицы, а также субпродуктов со сроками годности более 6 месяцев;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рыбное сырье, полученное от рыбы садкового содержания и придонных пород рыб;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рыбное сырье, подвергнутое повторному замораживанию;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яичный порошок;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масло сливочное ниже высшего сорта, масло сливочное соленое;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растительные масла с перекисным числом более 2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активного кислорода/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жира;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растительные масла: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высокоэруковое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рапсовое, хлопковое;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соки концентрированные, полученные диффузионным способом.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Для производства детских травяных чаев используются виды лекарственного растительного сырья, рекомендуемые в приложении 1 настоящих Санитарных правил.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4.3. Питьевая вода, используемая в качестве компонента при производстве продуктов детского питания, должна соответствовать нормам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2.1.4.1074-01 "Питьевая вода. Гигиенические требования к качеству воды централизованных систем питьевого водоснабжения. Контроль качества" (Постановление Главного государственного санитарного врача Российской Федерации от 26.09.2001 N 24, зарегистрировано Минюстом России 31.10.2001, N 3011).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4.4. Для производства продуктов детского питания для детей дошкольного и школьного возраста не используются следующие виды сырья: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мясо убойных животных и птицы, подвергнутое повторному замораживанию;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замороженные из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мяса говядины, свинины, а также субпродукты со сроками годности более 6 месяцев;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Абзац четвертый - Исключен.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говядина первой и второй категории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20%;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говядина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колбасная с массовой долей соединительной и жировой ткани свыше 12%;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    говяжье котлетное мясо с массовой долей соединительной и жировой ткани свыше 20%;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свинина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 массовой долей жировой ткани свыше 70%;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Абзац девятый - Исключен.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Письма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от 09.02.2006 N 0100/1330-06-32,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Абзац десятый - Исключен.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баранина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12%;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субпродукты, за исключением печени, сердца, языка.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4.5. 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растений, за исключением БАД на основе укропа, фенхеля и ромашки.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В питании детей с 3 до 14 лет разрешается использовать БАД, включающие только витамины, минеральные соли и микроэлементы, пищевые волокна,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, а также лекарственные и дикорастущие травы, перечисленные в Приложении 1.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V. ХИМИЧЕСКИЙ И ИНГРЕДИЕНТНЫЙ СОСТАВ ГОТОВЫХ ПРОДУКТОВ ДЕТСКОГО ПИТАНИЯ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5.1. Основные гигиенические требования к химическому составу продуктов детского питания установлены Санитарно-эпидемиологическими правилами и нормативами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2.3.2.1078-01 "Гигиенические требования безопасности и пищевой ценности пищевых продуктов".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5.2. 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2.3.2.1293-03 "Гигиенические требования по применению пищевых добавок" (Постановление Главного государственного санитарного врача Российской </w:t>
      </w: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18.04.2003 N 59, зарегистрировано Минюстом России 02.06.2003, регистрационный N 4613);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витаминов и минеральных солей, не включенных в приложение 2 настоящих Санитарных правил;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искусственных подслащивающих веществ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сахарозаменителей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поваренной соли в продуктах прикорма свыше 0,4%;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пряностей, за исключением укропа, петрушки, сельдерея, лука, чеснока, тмина, базилика, сладкого белого и душистого перца,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орегано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, корицы, кориандра, гвоздики, лаврового листа. </w:t>
      </w:r>
      <w:proofErr w:type="gramEnd"/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5.3. Витамины и минеральные соли, рекомендуемые для использования при производстве продуктов детского питания для детей раннего возраста, приведены в приложении 2.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5.4. С учетом положений действующих санитарно-эпидемиологических правил и нормативов готовые продукты детского питания для детей дошкольного и школьного возраста не содержат: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соли поваренной пищевой свыше 0,9% в мясных полуфабрикатах, свыше 1,2% - в консервах, свыше 1,8% - в колбасных изделиях; нитритов свыше 0,003% в колбасных изделиях;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в рыбных полуфабрикатах, консервах - соли пищевой поваренной свыше 0,8%;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в мясных и рыбных полуфабрикатах, колбасных изделиях - жгучих специй;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в кондитерских изделиях - алкоголя, кофе натурального, ядра абрикосовой косточки, кулинарных и кондитерских жиров,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пиросульфита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натрия;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майонеза.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VI. УПАКОВКА ПРОДУКТОВ ДЕТСКОГО ПИТАНИЯ И ИНФОРМАЦИИ, НАНЕСЕННОЙ НА ЭТИКЕТКУ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6.1. Согласно положениям законодательства в сфере защиты прав потребителей, в частности, Федерального закона от 02.01.2000 N 29-ФЗ "О качестве и безопасности пищевых продуктов", упаковка продуктов детского питания должна обеспечивать безопасность и сохранность пищевой ценности на всех этапах оборота.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6.2. При упаковке продуктов детского питания используются материалы, разрешенные для использования в установленном порядке для контакта с продуктами детского питания.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6.3. Продукты детского питания для детей раннего возраста, как правило, выпускаются в фасованном виде в мелкоштучной, герметичной </w:t>
      </w: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упаковке; жидкие продукты для питания детей раннего возраста выпускаются в упаковке объемом не более 0,35 л.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6.4. Требования к информации, нанесенной на этикетку продуктов детского питания,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6.5. С учетом положений законодательства Российской Федерации информация о продуктах детского питания содержит сведения об области применения, возрастные рекомендации (в соответствии с приложением 3 настоящих Санитарных правил).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VII. ТЕХНОЛОГИЧЕСКОЕ ОБОРУДОВАНИЕ И ТЕХНОЛОГИЧЕСКИЕ ПРОЦЕССЫ ПРИ ПРОИЗВОДСТВЕ ПРОДУКТОВ ДЕТСКОГО ПИТАНИЯ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7.1. Выпуск продуктов детского питания для детей раннего возраста осуществляется на специализированных предприятиях, в специализированных цехах (или на специализированных технологических линиях), имеющих санитарно-эпидемиологические заключения о соответствии их санитарным правилам, оформленные в установленном порядке.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7.2. Выпуск продуктов детского питания для детей дошкольного и школьного возраста может осуществляться на действующих мощностях (в начале смены или в отдельную смену после мойки и дезинфекции оборудования и инвентаря) в соответствии с требованиями, аналогичными требованиям к производству пищевой продукции общего назначения.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7.3. Технологическое оборудование, аппаратура, тара, инвентарь изготавливаются в соответствии с законодательством Российской Федерации и действующими санитарно-эпидемиологическими правилами и нормативами из материалов, разрешенных для контакта с продуктами детского питания органами Федеральной службы по надзору в сфере защиты прав потребителей и благополучия человека.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7.4. Оборудование для производства продуктов детского питания оснащается контрольно-регистрирующими приборами в установленном порядке.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7.5. Расстановка технологического оборудования производится в соответствии с технологической схемой, обеспечивает поточность технологического процесса, краткие и прямые коммуникации трубопроводов, исключает встречные потоки сырья и готовой продукции, обеспечивает возможность его мойки и дезинфекции.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7.6. Оборудование, аппаратура и трубопроводы монтируются таким образом, чтобы обеспечивать полное освобождение от продукции, моющих и </w:t>
      </w: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дезинфицирующих растворов; стеклянные термометры без защитной оправы не используются.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7.7. При проведении государственного санитарно-эпидемиологического надзора и контроля необходимо учитывать, что резервуары для изготовления и хранения сырья, компонентов и готовых продуктов детского питания должны быть снабжены плотно закрывающимися крышками.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7.8. При проведении мойки и дезинфекции технологического оборудования, инвентаря и тары используются моющие дезинфицирующие средства, разрешенные к применению в установленном порядке.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VIII. ОРГАНИЗАЦИЯ И ПРОВЕДЕНИЕ ПРОИЗВОДСТВЕННОГО КОНТРОЛЯ НА ПРЕДПРИЯТИЯХ ПО ИЗГОТОВЛЕНИЮ ПРОДУКТОВ ДЕТСКОГО ПИТАНИЯ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8.1. На предприятиях по производству продуктов детского питания осуществляется производственный контроль.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8.2. Производственный контроль осуществляется в соответствии с санитарными правилами "Организация и проведение производственного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мероприятий. СП 1.1.1058-01" (Постановление Главного государственного санитарного врача Российской Федерации от 13.07.2001 N 18, зарегистрировано Минюстом России 30.10.2001,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N 3000).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8.3. Система контроля качества и безопасности продуктов детского питания основывается на принципе анализа рисков и критических контрольных точек производственных процессов и включает: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контроль качества и безопасности сырья и компонентов, в том числе и радиационной безопасности, условий их хранения и соблюдения сроков годности;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контроль производства продукции по ходу технологического процесса;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контроль соблюдения санитарно-эпидемиологического режима;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контроль соблюдения персоналом личной гигиены.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8.4. Лабораторные исследования по органолептическим, физико-химическим, химическим и микробиологическим показателям безопасности продуктов детского питания выполняются по утвержденным методикам.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8.5. Порядок и периодичность производственного контроля, анализа рисков и критических контрольных точек при проведении лабораторного контроля устанавливаются предприятиями в зависимости от профиля производства и вида вырабатываемой продукции.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IX. ПРОИЗВОДСТВЕННЫЕ ПОМЕЩЕНИЯ ПРЕДПРИЯТИЙ ПО ПРОИЗВОДСТВУ ПРОДУКТОВ ДЕТСКОГО ПИТАНИЯ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9.1. Содержание территории, производственные и бытовые помещения должны соответствовать требованиям государственных санитарно-эпидемиологических правил и нормативов: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в производственных и вспомогательных зданиях и помещениях предусматривается естественная, механическая, смешанная вентиляция или кондиционирование воздуха в соответствии с гигиеническими требованиями; </w:t>
      </w:r>
      <w:proofErr w:type="gramEnd"/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на предприятиях по производству детского питания в производственных и бытовых помещениях, моечных, лабораториях и некоторых других помещениях предусматривается приточно-вытяжная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общеобменная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механическая вентиляция (или кондиционирование) в сочетании, при необходимости, с местной вытяжной вентиляцией;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бытовые помещения, туалеты, помещения заквасочной, лаборатории имеют независимые системы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и местной вентиляции;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подаваемый в производственные помещения приточный воздух подвергается очистке от пыли. Приточный воздух, поступающий в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заквасочную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и производственные помещения с открытыми технологическими процессами, очищается от пыли на масляных и других фильтрах тонкой очистки;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оборудование, являющееся источником интенсивного выделения тепла, влаги и вредных веществ, снабжается местными системами вытяжной вентиляции;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оборудование, являющееся источником пыли, должно быть обеспечено индивидуальными специализированными системами очистки (фильтрами, циклонами).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9.2. Количество воздуха, которое необходимо подавать в помещения для обеспечения требуемых параметров воздушной среды в рабочей или обслуживаемой зоне помещений, следует определять расчетом в зависимости от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количества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поступающего в помещение тепла, влаги и вредных веществ (аммиака, углекислоты, аэрозолей, окислов азота, озона и др.).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9.3. Вентиляционное оборудование размещается в технических помещениях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венткамерах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), оборудованных для подавления шума и вибрации в соответствии с гигиеническими требованиями и другими документами.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X. САНИТАРНО-ЭПИДЕМИОЛОГИЧЕСКИЕ ТРЕБОВАНИЯ К ВОДОСНАБЖЕНИЮ И КАНАЛИЗАЦИИ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10.1. Вода, используемая для технологических нужд, связанных с производством продукции, должна соответствовать санитарно-эпидемиологическим правилам и нормативам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2.1.4.1074-01 </w:t>
      </w: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"Питьевая вода. Гигиенические требования к качеству воды централизованных систем питьевого водоснабжения. Контроль качества" (Постановление Главного государственного санитарного врача Российской Федерации от 26.09.2001 N 24, зарегистрировано Минюстом России 31.10.2001, регистрационный N 3011).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10.2. Количество воды должно полностью обеспечивать все потребности предприятия. Расчет потребности воды производится в соответствии с нормами технологического проектирования и гигиеническими требованиями.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10.3. Устройство системы канализации предприятий по производству детского питания должно соответствовать государственным санитарно-эпидемиологическим нормативам.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10.4. Предприятия по производству детского питания обеспечиваются централизованными системами водоснабжения.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(рекомендуемое)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ВИДЫ ЛЕКАРСТВЕННОГО РАСТИТЕЛЬНОГО СЫРЬЯ, ДОПУЩЕННЫЕ ДЛЯ ИСПОЛЬЗОВАНИЯ ПРИ ПРОИЗВОДСТВЕ ТРАВЯНЫХ ЧАЕВ ДЛЯ ДЕТЕЙ РАННЕГО ВОЗРАСТА И БАД ДЛЯ ДЕТЕЙ СТАРШЕ 3 ЛЕТ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N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Русское название лекарственного растения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Латинское название лекарственного растения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Вид сырья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1.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Анис обыкновенный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Anisum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Gaerth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Umbelliferae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плоды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аниса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Anisi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Алтей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лекарственный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Althaea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officinalis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Malvacea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корни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алтея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Althaeae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radix)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Береза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бородавчатая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Betula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verrucosa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Ehrh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Betulaceae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Листья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березы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Betulae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folium)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4.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Береза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повислая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Betula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pendula</w:t>
      </w:r>
      <w:proofErr w:type="spellEnd"/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о же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4а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Бузина черная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Sambucus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nigra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Cambucaceae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Цветки бузины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Sambuci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flos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>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Гибискус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Hibiscus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sabdariffa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Malvaceae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Цветки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Гибискуса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Hibisci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flos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Красная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мальва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Hibiscus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sabdariffa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Malvaceae</w:t>
      </w:r>
      <w:proofErr w:type="spellEnd"/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о же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7.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Душица обыкновенная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Origanum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vulgare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Lamiaceae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Трава душицы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Origani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herba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8.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Земляника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Fragaria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Листья земляники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Fragariae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folium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Ноготки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аптечные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Calendula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officinalis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Composite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Цветки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календулы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Calendulae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flos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Крапива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двудомная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Urtica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dioica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Urticaceae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Листья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крапивы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Urticae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folium)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Лаванда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узколистная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Lavandula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angustifolia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Mill.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Lamiaceae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Цветки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лаванды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Lavadulae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flos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12.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Липа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сердцевидная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Tilia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cordata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Mill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90592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  <w:lang w:val="en-US"/>
        </w:rPr>
        <w:t>ili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>асеае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Цветки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липы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Tiliae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flos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13.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Малина обыкновенная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Rubus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ideaus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Rosaceae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Листья малины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Rubi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idaei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folium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14.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Просвирник лесной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Malva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sylvestris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Malva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Mauritiana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>) сем.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Malvaceae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Цветки мальвы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Malvae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flos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15.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Мальва лесная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Malva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sylvestris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n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Malva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Mauritiana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Malvaceae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То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же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Мелисса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Melissa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officinalis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Lamiaceae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Листья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мелиссы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Melissae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folium)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Мята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лимонная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Melissa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officinalis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Lamiaceae</w:t>
      </w:r>
      <w:proofErr w:type="spellEnd"/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о же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18.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Мята перечная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Mentha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piperita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Lamiaceae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Листья мяты перечной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Menthae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piperitae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folium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19.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Облепиха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Hippophae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rhamnoides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Elaeagnaceae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Листья облепихи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Hyppophaes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folium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20.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Подорожник большой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Plantago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major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Plantaginaceae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Листья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подорожника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Plantaginis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herba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21.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Подорожник средний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Plantago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media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Plantaginaceae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же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22.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Подорожник ланцетовидный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Plantago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lanceolate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Plantaginaceae</w:t>
      </w:r>
      <w:proofErr w:type="spellEnd"/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о же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23.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Померанец горький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Citrus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aurantium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Rutaceae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Померанца корка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24.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Ромашка аптечная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Matricaria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recutita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сем.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Compositae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(syn.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Chamomilla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L.)</w:t>
      </w:r>
      <w:proofErr w:type="gram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Цветки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ромашки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Chamomillae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flos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25.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Черная смородина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Ribes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nigrum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L.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Saxifragaceae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Листья смородины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Ribi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nigri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folium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26.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Тимьян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душистый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Thymus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vulgaris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L. (Thymus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marschallianus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Lamiaceae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Трава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тимьяна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Thymi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herba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Чабрец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Thymus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serpyllum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Lamiaceae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То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же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Pr="00A90592">
        <w:rPr>
          <w:rFonts w:ascii="Times New Roman" w:hAnsi="Times New Roman" w:cs="Times New Roman"/>
          <w:sz w:val="28"/>
          <w:szCs w:val="28"/>
        </w:rPr>
        <w:tab/>
        <w:t>Тимьян ползучий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о же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То же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29.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Тмин обыкновенный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>arum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carvi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, сем.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Umbellifere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Плоды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тмина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Cari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carvi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Фенхель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обыкновенный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Foeniculum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vulgare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Mill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>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Umbelliferae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Плоды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фенхеля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Foeniculi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Укроп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аптечный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Foeniculum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vulgare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Mill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>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Umbelliferae</w:t>
      </w:r>
      <w:proofErr w:type="spellEnd"/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>Т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о же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Строка 32 - Исключена.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(в ред. Постановления Главного государственного санитарного врача РФ от 27.06.2008 N 42)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33.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Черника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Vaccinium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myrtillus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Vacciniaceae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Плоды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черники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Myrtilli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34.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Шиповник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  <w:t xml:space="preserve">Rosa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Rosaceae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Шиповника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плоды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Rosae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35.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Брусника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Vaccinium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vitisidaea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L. </w:t>
      </w:r>
      <w:r w:rsidRPr="00A90592">
        <w:rPr>
          <w:rFonts w:ascii="Times New Roman" w:hAnsi="Times New Roman" w:cs="Times New Roman"/>
          <w:sz w:val="28"/>
          <w:szCs w:val="28"/>
        </w:rPr>
        <w:t>сем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Vacciniaceae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90592">
        <w:rPr>
          <w:rFonts w:ascii="Times New Roman" w:hAnsi="Times New Roman" w:cs="Times New Roman"/>
          <w:sz w:val="28"/>
          <w:szCs w:val="28"/>
        </w:rPr>
        <w:t>Плоды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>брусники</w:t>
      </w: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Vaccini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spellEnd"/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5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(рекомендуемое)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ВИТАМИНЫ И МИНЕРАЛЬНЫЕ СОЛИ, РЕКОМЕНДУЕМЫЕ ДЛЯ ИСПОЛЬЗОВАНИЯ ПРИ ПРОИЗВОДСТВЕ ПРОДУКТОВ ДЕТСКОГО ПИТАНИЯ ДЛЯ ДЕТЕЙ РАННЕГО ВОЗРАСТА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Форма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Ретинолацетат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ретинолпальмитат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; бета-каротин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Д2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эргокальциферол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; Д3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холекальциферол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Д-токоферол; Д_L -альфа-токоферол; Д-альфа токоферол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Витамин B 1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Тиамина гидрохлорид; тиамина бромид; тиамина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мононитрат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; тиамина хлорид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2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Рибофлавин; рибофлавин-5-фосфат, натрий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 РР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ниацин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Никотинамид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; никотиновая кислота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6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Пиридоксин гидрохлорид; пиридоксин-5-фосфат; пиридоксин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дипальмитат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Пантотеновая кислота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D-пантотенат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кальция;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D-пантотенат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натрия;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декспантенол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12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Цианкобаламин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гидроксокобаламин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592">
        <w:rPr>
          <w:rFonts w:ascii="Times New Roman" w:hAnsi="Times New Roman" w:cs="Times New Roman"/>
          <w:sz w:val="28"/>
          <w:szCs w:val="28"/>
        </w:rPr>
        <w:lastRenderedPageBreak/>
        <w:t>Фолиевая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кислота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Фолиевая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кислота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L-аскорбиновая кислота;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L-аскорбат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натрия;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L-аскорбат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кальция; 6-пальмитил-Lаскорбиновая кислота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аскорбилпальмитат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аскорбат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калия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Филлохинон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фитоменадион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Биотин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Д-биотин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Холин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Холина хлорид, холина цитрат; холина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битартрат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Инозит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Инозит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Карнитин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L-карнитин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L-карнитина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хлоргидрат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Элемент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Форма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Кальций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Кальций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углекислый (Е 170); кальций лимоннокислый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трехзамещенный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(Е 333);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кальция (Е 578); глицерофосфат кальция (Е 383);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кальция (Е 327); кальциевая соль ортофосфорной кислоты (Е 341)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Натрий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Цитрат натрия, хлорид натрия (Е 331)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Магний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Карбонат магния (Е 504); магний лимоннокислый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двузамещенный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(Е 345); хлорид магния (Е 511);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магния (Е 580); магниевые соли ортофосфорной кислоты (Е 343); сульфат магния (Е 518);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магния (Е 329)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Калий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Цитрат калия (Е 332);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калия (Е 326); калий фосфорнокислый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двузамещенный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ГОСТ 2493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Железо </w:t>
      </w:r>
      <w:r w:rsidRPr="00A905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железа (II) (Е 579); железо (II) сернокислое 7-водное ГОСТ 4148;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железа (II) (Е 585);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фумарат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железа (II);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дифосфат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пирофосфат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) железа (II); элементарное железо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Медь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Карбонат меди; цитрат меди;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меди; сульфат меди (Е 519)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Цинк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Ацетат цинка; сульфат цинка; хлорид цинка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Марганец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Карбонат марганца; хлорид марганца; цитрат марганца;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глюконат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марганца; сульфат марганца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Йод </w:t>
      </w:r>
      <w:r w:rsidRPr="00A90592">
        <w:rPr>
          <w:rFonts w:ascii="Times New Roman" w:hAnsi="Times New Roman" w:cs="Times New Roman"/>
          <w:sz w:val="28"/>
          <w:szCs w:val="28"/>
        </w:rPr>
        <w:tab/>
        <w:t xml:space="preserve">Йодид калия,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йодат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калия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(рекомендуемое)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РЕКОМЕНДУЕМЫЕ СРОКИ ВВЕДЕНИЯ ОСНОВНЫХ ПРОДУКТОВ И БЛЮД ПРИКОРМА ПРОМЫШЛЕННОГО ВЫПУСКА В ПИТАНИЕ ДЕТЕЙ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1. Продукты прикорма на зерновой и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зерно-молочной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основе (безмолочные и молочные каши)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4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: рисовая, гречневая.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Старше 5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: кукурузная и ее смесь с рисовой или гречневой;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: пшеничная, манная, овсяная, толокно и др.; растворимое печенье. </w:t>
      </w:r>
      <w:proofErr w:type="gramEnd"/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6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каши из смеси трех и более зерновых компонентов, включая тапиоку, пшено (не более 18% пшена по массе продукта).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9 месяцев жизни - каши типа "мюсли".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Все виды каш могут включать в качестве дополнительных компонентов: фруктовые наполнители - в соответствии с возрастными рекомендациями, приведенными в п. 2;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мед - старше 6 месяцев жизни;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какао - старше 9 месяцев жизни.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2. Продукты прикорма на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плодово-овощной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основе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- соки и нектары фруктовые, фруктово-ягодные, фруктово-овощные и овощные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3 месяцев жизни - осветленные яблочный и грушевый соки.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5 месяцев жизни - мон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соки и нектары из черной и красной смородины, малины, черешни, айвы, вишни, черники, брусники (до 20%), клюквы (до 20%) и др.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соки и нектары из цитрусовых (мандаринов, апельсинов, грейпфрутов); дыни, тропических плодов (ананасов, бананов, манго); клубники, земляники, томатов и других плодов и овощей, обладающих высокой потенциальной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; винограда (в составе смешанных соков) и др. </w:t>
      </w:r>
      <w:proofErr w:type="gramEnd"/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7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соки и нектары из папайи, киви, гуавы.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9 месяцев жизни - виноградный осветленный сок.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- пюре фруктовые, фруктово-ягодные, фруктово-овощные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4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пюре из яблок, груш, слив, персиков, абрикосов.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5 месяцев жизни - мон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пюре из плодов, ягод и овощей, включая пюре из черной и красной смородины, малины, черешни, айвы, вишни и др.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    Старше 5 - 6 месяцев жизни - пюре фруктово-зерновые, фруктово-молочные, в т.ч.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фруктово-йогуртные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(с содержанием йогурта не выше 20%) и другие комбинированные пюре.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6 месяцев - мон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пюре с включением цитрусовых, экзотических и других плодов и ягод, обладающих высокой потенциальной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- пюре овощные.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4, 5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пюре из кабачков, из цветной капусты, капусты брокколи, из картофеля, из сладкого картофеля, из моркови.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5 месяцев жизни - мон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пюре с расширением ассортимента овощей за счет тыквы, свеклы, капусты белокочанной и др.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6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, в том числе с добавлением томатов.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7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 добавлением зеленого горошка.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8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с добавлением шпината.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Пюре фруктовые, фруктово-ягодные, фруктово-овощные и овощные могут быть различной степени измельчения: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гомогенизированные (количество частиц мякоти размером 0,15 мм не &gt; 30%, из них частиц размером выше 0,3 мм не &gt; 7% от общего количества частиц) - для детей старше 4 месяцев жизни;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протертые (размер частиц не &gt; 0,4 мм) и крупноизмельченные (размер частиц 2 - 5 мм) - для детей старше 6 месяцев жизни.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3. Продукты прикорма на мясной основе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6 месяцев жизни - из говядины, из свинины, баранины, из курицы, индейки, кролика и др.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8 месяцев жизни - пюре с добавлением субпродуктов (печень, сердце, язык).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4. Продукты прикорма на рыбной основе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8 - 9 месяцев жизни из трески, хека, судака, лососевых, минтая, пикши,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пиленгаса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и других видов океанических, морских и пресноводных рыб.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5. Продукты прикорма на растительной основе с мясом и на мясорастительной основе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6 - 7 месяцев жизни, в соответствии с ассортиментом и возрастными рекомендациями для овощей и мясных продуктов, представленными в п. п. 2 и 3, с добавлением укропа и тмина.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8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, в которые могут входить лук, чеснок, бобовые, сельдерей, петрушка.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lastRenderedPageBreak/>
        <w:t xml:space="preserve">    Старше 9 месяцев жизни -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пюре, в которые могут включаться специи (сладкий и белый перец, лавровый лист).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10 месяцев жизни - консервы могут включать базилик, кориандр, душистый перец.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Консервы мясные,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мясо-растительные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и на растительной основе с мясом бывают трех степеней измельчения: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гомогенизированное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(размер частиц до 0,3 мм/до 20% частиц размером до 0,4 мм/) - для детей старше 6 месяцев жизни;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пюреобразное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(размер частиц до 1,5 мм/до 20% частиц размером до 3,0 мм/) - для детей старше 8 месяцев жизни;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90592">
        <w:rPr>
          <w:rFonts w:ascii="Times New Roman" w:hAnsi="Times New Roman" w:cs="Times New Roman"/>
          <w:sz w:val="28"/>
          <w:szCs w:val="28"/>
        </w:rPr>
        <w:t>крупноизмельченное</w:t>
      </w:r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(размер частиц до 3,0 мм/до 20% частиц до 5 мм/) - для детей старше 9 - 10 месяцев жизни.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6. Продукты прикорма на растительной основе с рыбой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Старше 8 - 9 месяцев жизни, в соответствии с ассортиментом рыбы, овощей, специй, представленным в п. п. 2, 4 и 5.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Рыбо-растительные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 xml:space="preserve"> консервы бывают двух степеней измельчения: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(размер частиц до 1,5 мм/до 20% частиц размером до 3,0 мм/) - для детей старше 8 месяцев жизни;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крупноизмельченные (размер частиц до 3,0 мм/до 20% частиц до 5 мм/) - для детей старше 9 - 10 месяцев жизни.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7. Неадаптированные кисломолочные продукты для детского питания (кефир, йогурт и др.) - старше 8 месяцев жизни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8. Детские травяные чаи </w:t>
      </w:r>
    </w:p>
    <w:p w:rsidR="007B27F1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Чаи гранулированные, на основе сахаров (глюкозы, фруктозы, сахарозы) с включением экстрактов одного или нескольких (не более пяти) видов трав и сухих плодов - старше 4 месяцев жизни. </w:t>
      </w:r>
    </w:p>
    <w:p w:rsidR="001A2A96" w:rsidRPr="00A90592" w:rsidRDefault="007B27F1" w:rsidP="00A90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90592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A90592">
        <w:rPr>
          <w:rFonts w:ascii="Times New Roman" w:hAnsi="Times New Roman" w:cs="Times New Roman"/>
          <w:sz w:val="28"/>
          <w:szCs w:val="28"/>
        </w:rPr>
        <w:t xml:space="preserve"> заварочные чаи в </w:t>
      </w:r>
      <w:proofErr w:type="spellStart"/>
      <w:proofErr w:type="gramStart"/>
      <w:r w:rsidRPr="00A90592">
        <w:rPr>
          <w:rFonts w:ascii="Times New Roman" w:hAnsi="Times New Roman" w:cs="Times New Roman"/>
          <w:sz w:val="28"/>
          <w:szCs w:val="28"/>
        </w:rPr>
        <w:t>фильтр-пакетах</w:t>
      </w:r>
      <w:proofErr w:type="spellEnd"/>
      <w:proofErr w:type="gramEnd"/>
      <w:r w:rsidRPr="00A90592">
        <w:rPr>
          <w:rFonts w:ascii="Times New Roman" w:hAnsi="Times New Roman" w:cs="Times New Roman"/>
          <w:sz w:val="28"/>
          <w:szCs w:val="28"/>
        </w:rPr>
        <w:t>, включающие укроп, фенхель или ромашку, - старше первого месяца жизни.</w:t>
      </w:r>
    </w:p>
    <w:sectPr w:rsidR="001A2A96" w:rsidRPr="00A90592" w:rsidSect="001A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7F1"/>
    <w:rsid w:val="001A2A96"/>
    <w:rsid w:val="007B27F1"/>
    <w:rsid w:val="00A90592"/>
    <w:rsid w:val="00E400D6"/>
    <w:rsid w:val="00F8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5917</Words>
  <Characters>33733</Characters>
  <Application>Microsoft Office Word</Application>
  <DocSecurity>0</DocSecurity>
  <Lines>281</Lines>
  <Paragraphs>79</Paragraphs>
  <ScaleCrop>false</ScaleCrop>
  <Company>Hewlett-Packard</Company>
  <LinksUpToDate>false</LinksUpToDate>
  <CharactersWithSpaces>39571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2014-04-09T16:46:00Z</dcterms:created>
  <dcterms:modified xsi:type="dcterms:W3CDTF">2014-04-09T18:05:00Z</dcterms:modified>
</cp:coreProperties>
</file>